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CD" w:rsidRDefault="007440CD" w:rsidP="007440CD">
      <w:pPr>
        <w:pStyle w:val="Heading1"/>
      </w:pPr>
      <w:bookmarkStart w:id="0" w:name="_GoBack"/>
      <w:r>
        <w:t>Policy</w:t>
      </w:r>
    </w:p>
    <w:p w:rsidR="00022AB2" w:rsidRDefault="00C77CD4" w:rsidP="00C77CD4">
      <w:r>
        <w:t>A foundational principle of Art to Change the World, Inc. is t</w:t>
      </w:r>
      <w:r w:rsidR="00651B70">
        <w:t xml:space="preserve">hat we want to </w:t>
      </w:r>
      <w:r w:rsidR="003700D2">
        <w:t>have artists</w:t>
      </w:r>
      <w:r w:rsidR="00651B70">
        <w:t xml:space="preserve"> and topic e</w:t>
      </w:r>
      <w:r w:rsidR="00666CB7">
        <w:t xml:space="preserve">xperts </w:t>
      </w:r>
      <w:r w:rsidR="00075617">
        <w:t xml:space="preserve">paid </w:t>
      </w:r>
      <w:r w:rsidR="00666CB7">
        <w:t>for their c</w:t>
      </w:r>
      <w:r>
        <w:t>ontributions to our exhibit</w:t>
      </w:r>
      <w:r w:rsidR="00022AB2">
        <w:t xml:space="preserve">s, </w:t>
      </w:r>
      <w:r>
        <w:t>educational activities</w:t>
      </w:r>
      <w:r w:rsidR="00022AB2">
        <w:t>, and other events</w:t>
      </w:r>
      <w:r>
        <w:t xml:space="preserve">.  </w:t>
      </w:r>
      <w:r w:rsidR="00666CB7">
        <w:t xml:space="preserve"> </w:t>
      </w:r>
    </w:p>
    <w:p w:rsidR="007440CD" w:rsidRDefault="007440CD" w:rsidP="007440CD">
      <w:pPr>
        <w:pStyle w:val="Heading1"/>
      </w:pPr>
      <w:r>
        <w:t>Member Contributions</w:t>
      </w:r>
    </w:p>
    <w:p w:rsidR="00666CB7" w:rsidRDefault="00666CB7" w:rsidP="00C77CD4">
      <w:r>
        <w:t>A value of Art to Change the World is that all members contribute time, talent, and/or treasure to ACW by volunteering at events and throughout the year, contributing to the business of ACW as their talents/experience allow (example creating spreadsheets), and/or  donating to the general fund.</w:t>
      </w:r>
    </w:p>
    <w:p w:rsidR="007440CD" w:rsidRDefault="007440CD" w:rsidP="007440CD">
      <w:pPr>
        <w:pStyle w:val="Heading1"/>
      </w:pPr>
      <w:r>
        <w:t>Funded Projects</w:t>
      </w:r>
    </w:p>
    <w:p w:rsidR="00666CB7" w:rsidRDefault="00666CB7" w:rsidP="00C77CD4">
      <w:r>
        <w:t>As a non-profit organization, we are funded entirely by donations, contributions, partnerships and grants.  In order to cover operating costs for a</w:t>
      </w:r>
      <w:r w:rsidR="00075617">
        <w:t>n</w:t>
      </w:r>
      <w:r>
        <w:t xml:space="preserve"> event, we request that artists participating in an event pursue funding/grants for their individual operating costs for their project, as well as contributing to the general operating cost of the event.  </w:t>
      </w:r>
    </w:p>
    <w:p w:rsidR="007440CD" w:rsidRDefault="007440CD" w:rsidP="007440CD">
      <w:r>
        <w:t xml:space="preserve">Our goal is to have all ACW event Works externally funded by a foundation, non-profit, business, organization, individual, or other funding source.   Artists and Topic Experts are encouraged to recruit their own funding or collaborate with ACW to find funding.  </w:t>
      </w:r>
    </w:p>
    <w:p w:rsidR="007440CD" w:rsidRPr="007440CD" w:rsidRDefault="007440CD" w:rsidP="007440CD">
      <w:pPr>
        <w:rPr>
          <w:i/>
        </w:rPr>
      </w:pPr>
      <w:r>
        <w:t>Funded artists and topic experts will be paid from the funding dollars they recruited.  Funding proposals should include an overhead fee of 15%, which is paid to ACW for overhead expenses.  The remaining portion of the funding will be paid to the artist/topic expert.</w:t>
      </w:r>
    </w:p>
    <w:p w:rsidR="007440CD" w:rsidRDefault="007440C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440CD" w:rsidRDefault="007440CD" w:rsidP="007440CD">
      <w:pPr>
        <w:pStyle w:val="Heading1"/>
      </w:pPr>
      <w:r>
        <w:lastRenderedPageBreak/>
        <w:t>Non-Funded Projects</w:t>
      </w:r>
    </w:p>
    <w:p w:rsidR="007440CD" w:rsidRDefault="00075617" w:rsidP="007440CD">
      <w:pPr>
        <w:ind w:left="360"/>
      </w:pPr>
      <w:r>
        <w:t xml:space="preserve">If a project has not received external funding, </w:t>
      </w:r>
      <w:r w:rsidR="00022AB2">
        <w:t xml:space="preserve">ACW will pay artists and topic experts for their contributions with the following </w:t>
      </w:r>
      <w:r w:rsidR="007440CD">
        <w:t xml:space="preserve">amounts as long as funds are available.  Non-funded artists and topic experts will be paid from the funds raised at the event and through donations.  Their payment amount may vary based on </w:t>
      </w:r>
      <w:r>
        <w:t xml:space="preserve">1) </w:t>
      </w:r>
      <w:r w:rsidR="007440CD">
        <w:t>the amount of funds raised and</w:t>
      </w:r>
      <w:r>
        <w:t xml:space="preserve"> 2)</w:t>
      </w:r>
      <w:r w:rsidR="007440CD">
        <w:t xml:space="preserve"> their volunteer contributions to the event.  If funds are not available, Non-funded Work will be paid at the dollar amount available.</w:t>
      </w:r>
    </w:p>
    <w:p w:rsidR="00022AB2" w:rsidRDefault="00022AB2" w:rsidP="00022AB2">
      <w:pPr>
        <w:pStyle w:val="ListParagraph"/>
        <w:numPr>
          <w:ilvl w:val="1"/>
          <w:numId w:val="1"/>
        </w:numPr>
      </w:pPr>
      <w:r>
        <w:t>Pay $250 to Topic Expert as stipend</w:t>
      </w:r>
    </w:p>
    <w:p w:rsidR="00022AB2" w:rsidRDefault="00022AB2" w:rsidP="00022AB2">
      <w:pPr>
        <w:pStyle w:val="ListParagraph"/>
        <w:numPr>
          <w:ilvl w:val="1"/>
          <w:numId w:val="1"/>
        </w:numPr>
      </w:pPr>
      <w:r>
        <w:t xml:space="preserve">Pay $250 for art supplies purchased and used for </w:t>
      </w:r>
      <w:r w:rsidR="00075617">
        <w:t>their project</w:t>
      </w:r>
      <w:r>
        <w:t xml:space="preserve"> in the event</w:t>
      </w:r>
    </w:p>
    <w:p w:rsidR="00022AB2" w:rsidRDefault="00075617" w:rsidP="00666CB7">
      <w:pPr>
        <w:pStyle w:val="ListParagraph"/>
        <w:numPr>
          <w:ilvl w:val="1"/>
          <w:numId w:val="1"/>
        </w:numPr>
      </w:pPr>
      <w:r>
        <w:t>Pay $250 to A</w:t>
      </w:r>
      <w:r w:rsidR="00022AB2">
        <w:t>rtist as stipend</w:t>
      </w:r>
    </w:p>
    <w:p w:rsidR="007440CD" w:rsidRDefault="007440CD" w:rsidP="007440CD">
      <w:pPr>
        <w:pStyle w:val="Heading1"/>
      </w:pPr>
      <w:r>
        <w:t>ACW Operating Fund</w:t>
      </w:r>
    </w:p>
    <w:p w:rsidR="00C77CD4" w:rsidRDefault="00C77CD4" w:rsidP="007440CD">
      <w:pPr>
        <w:ind w:left="360"/>
      </w:pPr>
      <w:r>
        <w:t xml:space="preserve">Before any event, ACW will prepare financial reports showing bank balances.   The bank balance may be used to prepare/fund the event, but the pre-event balance must be restored before </w:t>
      </w:r>
      <w:r w:rsidR="00651B70">
        <w:t>non-funded artis</w:t>
      </w:r>
      <w:r w:rsidR="007440CD">
        <w:t xml:space="preserve">ts and topic experts are paid, unless an alternate procedure has been proposed by the Executive Director and approved by the Board.  </w:t>
      </w:r>
    </w:p>
    <w:p w:rsidR="00651B70" w:rsidRDefault="00651B70" w:rsidP="007440CD">
      <w:pPr>
        <w:ind w:left="360"/>
      </w:pPr>
      <w:r>
        <w:t xml:space="preserve">After all event costs are paid, and after all artists and topic experts are paid, profits will be retained by ACW for operating costs.  </w:t>
      </w:r>
    </w:p>
    <w:p w:rsidR="00075617" w:rsidRDefault="00075617" w:rsidP="00075617">
      <w:pPr>
        <w:pStyle w:val="Heading1"/>
      </w:pPr>
      <w:r>
        <w:t>Fiscal Agent</w:t>
      </w:r>
    </w:p>
    <w:p w:rsidR="00075617" w:rsidRPr="00075617" w:rsidRDefault="00075617" w:rsidP="00075617">
      <w:r>
        <w:t>When ACW acts as a fiscal ag</w:t>
      </w:r>
      <w:r w:rsidR="004566E4">
        <w:t>ent for an</w:t>
      </w:r>
      <w:r w:rsidR="004566E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individual or </w:t>
      </w:r>
      <w:r w:rsidR="004566E4" w:rsidRPr="004566E4">
        <w:rPr>
          <w:rFonts w:ascii="Arial" w:hAnsi="Arial" w:cs="Arial"/>
          <w:sz w:val="19"/>
          <w:szCs w:val="19"/>
          <w:shd w:val="clear" w:color="auto" w:fill="FFFFFF"/>
        </w:rPr>
        <w:t>organization</w:t>
      </w:r>
      <w:r w:rsidR="004566E4">
        <w:rPr>
          <w:rFonts w:ascii="Arial" w:hAnsi="Arial" w:cs="Arial"/>
          <w:sz w:val="19"/>
          <w:szCs w:val="19"/>
          <w:shd w:val="clear" w:color="auto" w:fill="FFFFFF"/>
        </w:rPr>
        <w:t>’s</w:t>
      </w:r>
      <w:r w:rsidR="004566E4" w:rsidRPr="004566E4">
        <w:rPr>
          <w:rFonts w:ascii="Arial" w:hAnsi="Arial" w:cs="Arial"/>
          <w:sz w:val="19"/>
          <w:szCs w:val="19"/>
          <w:shd w:val="clear" w:color="auto" w:fill="FFFFFF"/>
        </w:rPr>
        <w:t xml:space="preserve"> project external to an ACW event, ACW </w:t>
      </w:r>
      <w:r w:rsidR="004566E4"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charge a 10% operating fee. </w:t>
      </w:r>
      <w:bookmarkEnd w:id="0"/>
    </w:p>
    <w:sectPr w:rsidR="00075617" w:rsidRPr="000756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9B" w:rsidRDefault="0012519B" w:rsidP="00C77CD4">
      <w:pPr>
        <w:spacing w:after="0" w:line="240" w:lineRule="auto"/>
      </w:pPr>
      <w:r>
        <w:separator/>
      </w:r>
    </w:p>
  </w:endnote>
  <w:endnote w:type="continuationSeparator" w:id="0">
    <w:p w:rsidR="0012519B" w:rsidRDefault="0012519B" w:rsidP="00C7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D2" w:rsidRDefault="003700D2" w:rsidP="003700D2">
    <w:r>
      <w:t xml:space="preserve">Date Approved: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566E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566E4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9B" w:rsidRDefault="0012519B" w:rsidP="00C77CD4">
      <w:pPr>
        <w:spacing w:after="0" w:line="240" w:lineRule="auto"/>
      </w:pPr>
      <w:r>
        <w:separator/>
      </w:r>
    </w:p>
  </w:footnote>
  <w:footnote w:type="continuationSeparator" w:id="0">
    <w:p w:rsidR="0012519B" w:rsidRDefault="0012519B" w:rsidP="00C7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D5" w:rsidRDefault="00C137D5" w:rsidP="003700D2">
    <w:r>
      <w:rPr>
        <w:noProof/>
      </w:rPr>
      <w:drawing>
        <wp:inline distT="0" distB="0" distL="0" distR="0" wp14:anchorId="0D6097D4" wp14:editId="4DAD5DAE">
          <wp:extent cx="113293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 logo small  2 X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856" cy="85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0D2" w:rsidRPr="003700D2">
      <w:t xml:space="preserve"> </w:t>
    </w:r>
    <w:r w:rsidR="003700D2">
      <w:tab/>
    </w:r>
    <w:r w:rsidR="003700D2">
      <w:tab/>
    </w:r>
    <w:r w:rsidR="003700D2">
      <w:tab/>
    </w:r>
    <w:r w:rsidR="003700D2">
      <w:tab/>
    </w:r>
    <w:r w:rsidR="003700D2">
      <w:tab/>
    </w:r>
    <w:r w:rsidR="003700D2">
      <w:tab/>
    </w:r>
    <w:r w:rsidR="003700D2" w:rsidRPr="003700D2">
      <w:rPr>
        <w:rFonts w:asciiTheme="majorHAnsi" w:hAnsiTheme="majorHAnsi"/>
        <w:sz w:val="52"/>
        <w:szCs w:val="52"/>
      </w:rPr>
      <w:t>Funding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A12"/>
    <w:multiLevelType w:val="hybridMultilevel"/>
    <w:tmpl w:val="27705600"/>
    <w:lvl w:ilvl="0" w:tplc="FC94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1DC"/>
    <w:multiLevelType w:val="hybridMultilevel"/>
    <w:tmpl w:val="4A9EFD88"/>
    <w:lvl w:ilvl="0" w:tplc="FC94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4"/>
    <w:rsid w:val="00022AB2"/>
    <w:rsid w:val="00075617"/>
    <w:rsid w:val="0012519B"/>
    <w:rsid w:val="003700D2"/>
    <w:rsid w:val="004566E4"/>
    <w:rsid w:val="004A20D7"/>
    <w:rsid w:val="00503F77"/>
    <w:rsid w:val="00623DC7"/>
    <w:rsid w:val="00651B70"/>
    <w:rsid w:val="00666CB7"/>
    <w:rsid w:val="007440CD"/>
    <w:rsid w:val="00C00464"/>
    <w:rsid w:val="00C137D5"/>
    <w:rsid w:val="00C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56506F-1714-4D08-8A5A-871A41C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D4"/>
  </w:style>
  <w:style w:type="paragraph" w:styleId="Footer">
    <w:name w:val="footer"/>
    <w:basedOn w:val="Normal"/>
    <w:link w:val="FooterChar"/>
    <w:uiPriority w:val="99"/>
    <w:unhideWhenUsed/>
    <w:rsid w:val="00C7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D4"/>
  </w:style>
  <w:style w:type="paragraph" w:styleId="Title">
    <w:name w:val="Title"/>
    <w:basedOn w:val="Normal"/>
    <w:next w:val="Normal"/>
    <w:link w:val="TitleChar"/>
    <w:uiPriority w:val="10"/>
    <w:qFormat/>
    <w:rsid w:val="00C77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7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Joan</dc:creator>
  <cp:lastModifiedBy>Bridges, Barbara R</cp:lastModifiedBy>
  <cp:revision>2</cp:revision>
  <dcterms:created xsi:type="dcterms:W3CDTF">2018-08-25T15:48:00Z</dcterms:created>
  <dcterms:modified xsi:type="dcterms:W3CDTF">2018-08-25T15:48:00Z</dcterms:modified>
</cp:coreProperties>
</file>